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00CDE">
      <w:pPr>
        <w:pStyle w:val="72"/>
        <w:tabs>
          <w:tab w:val="right" w:pos="9639"/>
        </w:tabs>
        <w:spacing w:after="0"/>
        <w:rPr>
          <w:rFonts w:hint="default" w:eastAsia="宋体"/>
          <w:b/>
          <w:i/>
          <w:sz w:val="28"/>
          <w:lang w:val="en-US" w:eastAsia="zh-CN"/>
        </w:rPr>
      </w:pPr>
      <w:bookmarkStart w:id="0" w:name="_Toc490144477"/>
      <w:r>
        <w:rPr>
          <w:b/>
          <w:sz w:val="24"/>
        </w:rPr>
        <w:t>3GPP TSG RAN WG5 Meeting #10</w:t>
      </w:r>
      <w:r>
        <w:rPr>
          <w:rFonts w:hint="eastAsia" w:eastAsia="宋体"/>
          <w:b/>
          <w:sz w:val="24"/>
          <w:lang w:val="en-US" w:eastAsia="zh-CN"/>
        </w:rPr>
        <w:t>8</w:t>
      </w:r>
      <w:r>
        <w:rPr>
          <w:b/>
          <w:sz w:val="24"/>
        </w:rPr>
        <w:tab/>
      </w:r>
      <w:r>
        <w:rPr>
          <w:b/>
          <w:sz w:val="28"/>
          <w:szCs w:val="28"/>
        </w:rPr>
        <w:t>R5-25</w:t>
      </w:r>
      <w:r>
        <w:rPr>
          <w:rFonts w:hint="eastAsia" w:eastAsia="宋体"/>
          <w:b/>
          <w:sz w:val="28"/>
          <w:szCs w:val="28"/>
          <w:lang w:val="en-US" w:eastAsia="zh-CN"/>
        </w:rPr>
        <w:t>4102</w:t>
      </w:r>
      <w:bookmarkStart w:id="1" w:name="_GoBack"/>
      <w:bookmarkEnd w:id="1"/>
    </w:p>
    <w:p w14:paraId="40BA94B6">
      <w:pPr>
        <w:pStyle w:val="23"/>
        <w:tabs>
          <w:tab w:val="right" w:pos="10206"/>
        </w:tabs>
        <w:rPr>
          <w:sz w:val="24"/>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p w14:paraId="50E7F1E4">
      <w:pPr>
        <w:pStyle w:val="48"/>
      </w:pPr>
    </w:p>
    <w:p w14:paraId="6D37A79E">
      <w:pPr>
        <w:tabs>
          <w:tab w:val="left" w:pos="1985"/>
        </w:tabs>
        <w:rPr>
          <w:rFonts w:hint="default" w:ascii="Arial" w:hAnsi="Arial" w:eastAsia="宋体"/>
          <w:sz w:val="24"/>
          <w:lang w:val="en-US" w:eastAsia="zh-CN"/>
        </w:rPr>
      </w:pPr>
      <w:r>
        <w:rPr>
          <w:rFonts w:ascii="Arial" w:hAnsi="Arial"/>
          <w:b/>
          <w:sz w:val="24"/>
        </w:rPr>
        <w:t>Agenda Item:</w:t>
      </w:r>
      <w:r>
        <w:rPr>
          <w:rFonts w:ascii="Arial" w:hAnsi="Arial"/>
          <w:sz w:val="24"/>
        </w:rPr>
        <w:tab/>
      </w:r>
      <w:r>
        <w:rPr>
          <w:rFonts w:ascii="Arial" w:hAnsi="Arial"/>
          <w:sz w:val="24"/>
        </w:rPr>
        <w:t>6.</w:t>
      </w:r>
      <w:r>
        <w:rPr>
          <w:rFonts w:hint="eastAsia" w:ascii="Arial" w:hAnsi="Arial" w:eastAsia="宋体"/>
          <w:sz w:val="24"/>
          <w:lang w:val="en-US" w:eastAsia="zh-CN"/>
        </w:rPr>
        <w:t>4.7</w:t>
      </w:r>
    </w:p>
    <w:p w14:paraId="0B2658E7">
      <w:pPr>
        <w:tabs>
          <w:tab w:val="left" w:pos="1985"/>
        </w:tabs>
        <w:ind w:left="1985" w:hanging="1985"/>
        <w:rPr>
          <w:rFonts w:hint="default" w:ascii="Arial" w:hAnsi="Arial" w:eastAsia="宋体"/>
          <w:sz w:val="24"/>
          <w:lang w:val="en-US" w:eastAsia="zh-CN"/>
        </w:rPr>
      </w:pPr>
      <w:r>
        <w:rPr>
          <w:rFonts w:ascii="Arial" w:hAnsi="Arial"/>
          <w:b/>
          <w:sz w:val="24"/>
        </w:rPr>
        <w:t>Source:</w:t>
      </w:r>
      <w:r>
        <w:rPr>
          <w:rFonts w:ascii="Arial" w:hAnsi="Arial"/>
          <w:b/>
          <w:sz w:val="24"/>
        </w:rPr>
        <w:tab/>
      </w:r>
      <w:r>
        <w:rPr>
          <w:rFonts w:hint="eastAsia" w:ascii="Arial" w:hAnsi="Arial" w:eastAsia="宋体" w:cs="Arial"/>
          <w:sz w:val="24"/>
          <w:lang w:val="en-US" w:eastAsia="zh-CN"/>
        </w:rPr>
        <w:t>CMCC</w:t>
      </w:r>
    </w:p>
    <w:p w14:paraId="592D5D2C">
      <w:pPr>
        <w:tabs>
          <w:tab w:val="left" w:pos="1985"/>
        </w:tabs>
        <w:ind w:left="1985" w:hanging="1985"/>
        <w:rPr>
          <w:rFonts w:hint="default" w:ascii="Arial" w:hAnsi="Arial" w:eastAsia="宋体"/>
          <w:sz w:val="24"/>
          <w:lang w:val="en-US" w:eastAsia="zh-CN"/>
        </w:rPr>
      </w:pPr>
      <w:r>
        <w:rPr>
          <w:rFonts w:ascii="Arial" w:hAnsi="Arial"/>
          <w:b/>
          <w:sz w:val="24"/>
        </w:rPr>
        <w:t>Title:</w:t>
      </w:r>
      <w:r>
        <w:rPr>
          <w:rFonts w:ascii="Arial" w:hAnsi="Arial"/>
          <w:sz w:val="24"/>
        </w:rPr>
        <w:tab/>
      </w:r>
      <w:r>
        <w:rPr>
          <w:rFonts w:hint="eastAsia" w:ascii="Arial" w:hAnsi="Arial" w:eastAsia="宋体"/>
          <w:sz w:val="24"/>
          <w:lang w:val="en-US" w:eastAsia="zh-CN"/>
        </w:rPr>
        <w:t>SON/MDT IDC test for band n41</w:t>
      </w:r>
    </w:p>
    <w:p w14:paraId="3C5C5739">
      <w:pPr>
        <w:tabs>
          <w:tab w:val="left" w:pos="1985"/>
        </w:tabs>
        <w:rPr>
          <w:rFonts w:ascii="Arial" w:hAnsi="Arial"/>
          <w:sz w:val="24"/>
        </w:rPr>
      </w:pPr>
      <w:r>
        <w:rPr>
          <w:rFonts w:ascii="Arial" w:hAnsi="Arial"/>
          <w:b/>
          <w:sz w:val="24"/>
        </w:rPr>
        <w:t>Document for:</w:t>
      </w:r>
      <w:r>
        <w:rPr>
          <w:rFonts w:ascii="Arial" w:hAnsi="Arial"/>
          <w:sz w:val="24"/>
        </w:rPr>
        <w:tab/>
      </w:r>
      <w:r>
        <w:rPr>
          <w:rFonts w:ascii="Arial" w:hAnsi="Arial"/>
          <w:sz w:val="24"/>
        </w:rPr>
        <w:t>Endorsement</w:t>
      </w:r>
    </w:p>
    <w:p w14:paraId="6D6CE28E">
      <w:pPr>
        <w:pStyle w:val="2"/>
      </w:pPr>
      <w:r>
        <w:t>1</w:t>
      </w:r>
      <w:r>
        <w:tab/>
      </w:r>
      <w:r>
        <w:t>Introduction</w:t>
      </w:r>
    </w:p>
    <w:p w14:paraId="53DFBC87">
      <w:pPr>
        <w:overflowPunct w:val="0"/>
        <w:autoSpaceDE w:val="0"/>
        <w:autoSpaceDN w:val="0"/>
        <w:adjustRightInd w:val="0"/>
        <w:textAlignment w:val="baseline"/>
        <w:rPr>
          <w:rFonts w:hint="eastAsia"/>
          <w:lang w:val="en-US" w:eastAsia="zh-CN"/>
        </w:rPr>
      </w:pPr>
      <w:r>
        <w:rPr>
          <w:rFonts w:hint="eastAsia" w:eastAsia="宋体"/>
          <w:lang w:val="en-US" w:eastAsia="zh-CN"/>
        </w:rPr>
        <w:t xml:space="preserve">In R17 SON/MDT WI </w:t>
      </w:r>
      <w:r>
        <w:rPr>
          <w:rFonts w:hint="default" w:eastAsia="宋体"/>
          <w:lang w:val="en-US" w:eastAsia="zh-CN"/>
        </w:rPr>
        <w:t>“NR_ENDC_SON_MDT_enh-UEConTest”</w:t>
      </w:r>
      <w:r>
        <w:rPr>
          <w:rFonts w:hint="eastAsia" w:eastAsia="宋体"/>
          <w:lang w:val="en-US" w:eastAsia="zh-CN"/>
        </w:rPr>
        <w:t xml:space="preserve">, for IDC test case, only band n40 is supported to test the IDC mechanism, such as </w:t>
      </w:r>
      <w:r>
        <w:rPr>
          <w:rFonts w:hint="eastAsia"/>
          <w:lang w:eastAsia="zh-CN"/>
        </w:rPr>
        <w:t>suspend measurement logging</w:t>
      </w:r>
      <w:r>
        <w:rPr>
          <w:rFonts w:hint="eastAsia"/>
          <w:lang w:val="en-US" w:eastAsia="zh-CN"/>
        </w:rPr>
        <w:t xml:space="preserve"> when IDC is detected and </w:t>
      </w:r>
      <w:r>
        <w:rPr>
          <w:rFonts w:hint="eastAsia"/>
          <w:lang w:eastAsia="zh-CN"/>
        </w:rPr>
        <w:t>tag MDT report with inDeviceCoexDetected-r17 flag</w:t>
      </w:r>
      <w:r>
        <w:rPr>
          <w:rFonts w:hint="eastAsia"/>
          <w:lang w:val="en-US" w:eastAsia="zh-CN"/>
        </w:rPr>
        <w:t xml:space="preserve">, </w:t>
      </w:r>
      <w:r>
        <w:rPr>
          <w:lang w:eastAsia="zh-CN"/>
        </w:rPr>
        <w:t>resume measurement logging</w:t>
      </w:r>
      <w:r>
        <w:rPr>
          <w:rFonts w:hint="eastAsia"/>
          <w:lang w:val="en-US" w:eastAsia="zh-CN"/>
        </w:rPr>
        <w:t xml:space="preserve"> when </w:t>
      </w:r>
      <w:r>
        <w:t>IDC problems detected by the UE is resolved</w:t>
      </w:r>
      <w:r>
        <w:rPr>
          <w:lang w:eastAsia="zh-CN"/>
        </w:rPr>
        <w:t xml:space="preserve"> during the last logging interval</w:t>
      </w:r>
      <w:r>
        <w:rPr>
          <w:rFonts w:hint="eastAsia"/>
          <w:lang w:val="en-US" w:eastAsia="zh-CN"/>
        </w:rPr>
        <w:t xml:space="preserve">. </w:t>
      </w:r>
    </w:p>
    <w:p w14:paraId="221104EC">
      <w:pPr>
        <w:overflowPunct w:val="0"/>
        <w:autoSpaceDE w:val="0"/>
        <w:autoSpaceDN w:val="0"/>
        <w:adjustRightInd w:val="0"/>
        <w:textAlignment w:val="baseline"/>
        <w:rPr>
          <w:rFonts w:hint="default"/>
          <w:lang w:val="en-US" w:eastAsia="zh-CN"/>
        </w:rPr>
      </w:pPr>
      <w:r>
        <w:rPr>
          <w:rFonts w:hint="eastAsia"/>
          <w:lang w:val="en-US" w:eastAsia="zh-CN"/>
        </w:rPr>
        <w:t>More frequency band needs to be added to enhance the coverage of logged MDT IDC test case.</w:t>
      </w:r>
    </w:p>
    <w:p w14:paraId="2D2433A4">
      <w:pPr>
        <w:pStyle w:val="2"/>
      </w:pPr>
      <w:r>
        <w:t>2</w:t>
      </w:r>
      <w:r>
        <w:tab/>
      </w:r>
      <w:r>
        <w:t>Discussion</w:t>
      </w:r>
    </w:p>
    <w:p w14:paraId="414F359D">
      <w:pPr>
        <w:jc w:val="both"/>
        <w:rPr>
          <w:rFonts w:hint="default" w:eastAsia="宋体"/>
          <w:bCs/>
          <w:lang w:val="en-US" w:eastAsia="zh-CN"/>
        </w:rPr>
      </w:pPr>
      <w:r>
        <w:rPr>
          <w:rFonts w:hint="eastAsia"/>
          <w:bCs/>
        </w:rPr>
        <w:t>In-device coexistence (IDC)</w:t>
      </w:r>
      <w:r>
        <w:rPr>
          <w:rFonts w:hint="eastAsia" w:eastAsia="宋体"/>
          <w:bCs/>
          <w:lang w:val="en-US" w:eastAsia="zh-CN"/>
        </w:rPr>
        <w:t xml:space="preserve"> problem occurs when the UE (intends to) uses WLAN on the overlapped carrier/band or adjacent carrier/band to its 3GPP frequency. In R17, RAN2 introduced an IDC solution for logged MDT that UE can suspend measurement logging when IDC problem is detected and resume measurement logging when IDC problem is resolved, and reporting it to the network to enable the network aware that IDC problem exists. Then, RAN5 introduces a </w:t>
      </w:r>
      <w:r>
        <w:rPr>
          <w:rFonts w:hint="eastAsia"/>
          <w:bCs/>
        </w:rPr>
        <w:t>test case (TC) to validate this logging and reporting mechanism</w:t>
      </w:r>
      <w:r>
        <w:rPr>
          <w:rFonts w:hint="eastAsia" w:eastAsia="宋体"/>
          <w:bCs/>
          <w:lang w:val="en-US" w:eastAsia="zh-CN"/>
        </w:rPr>
        <w:t xml:space="preserve">. </w:t>
      </w:r>
    </w:p>
    <w:p w14:paraId="31177B06">
      <w:pPr>
        <w:jc w:val="both"/>
        <w:rPr>
          <w:bCs/>
        </w:rPr>
      </w:pPr>
      <w:r>
        <w:rPr>
          <w:rFonts w:hint="eastAsia" w:eastAsia="宋体"/>
          <w:bCs/>
          <w:lang w:val="en-US" w:eastAsia="zh-CN"/>
        </w:rPr>
        <w:t xml:space="preserve">However, to enable the </w:t>
      </w:r>
      <w:r>
        <w:rPr>
          <w:rFonts w:hint="eastAsia"/>
          <w:lang w:val="en-US" w:eastAsia="zh-CN"/>
        </w:rPr>
        <w:t xml:space="preserve">IDC problem can be detected with </w:t>
      </w:r>
      <w:r>
        <w:rPr>
          <w:rFonts w:hint="eastAsia"/>
          <w:lang w:eastAsia="zh-CN"/>
        </w:rPr>
        <w:t xml:space="preserve">WLAN </w:t>
      </w:r>
      <w:r>
        <w:rPr>
          <w:lang w:eastAsia="zh-CN"/>
        </w:rPr>
        <w:t>AP</w:t>
      </w:r>
      <w:r>
        <w:rPr>
          <w:rFonts w:hint="eastAsia"/>
          <w:lang w:val="en-US" w:eastAsia="zh-CN"/>
        </w:rPr>
        <w:t xml:space="preserve">, </w:t>
      </w:r>
      <w:r>
        <w:rPr>
          <w:rFonts w:hint="eastAsia" w:eastAsia="宋体"/>
          <w:lang w:val="en-US" w:eastAsia="zh-CN"/>
        </w:rPr>
        <w:t xml:space="preserve">the test frequency is only limited to </w:t>
      </w:r>
      <w:r>
        <w:rPr>
          <w:lang w:val="en-US" w:eastAsia="zh-CN"/>
        </w:rPr>
        <w:t xml:space="preserve">band </w:t>
      </w:r>
      <w:r>
        <w:rPr>
          <w:rFonts w:hint="eastAsia"/>
          <w:lang w:val="en-US" w:eastAsia="zh-CN"/>
        </w:rPr>
        <w:t>n</w:t>
      </w:r>
      <w:r>
        <w:rPr>
          <w:lang w:val="en-US" w:eastAsia="zh-CN"/>
        </w:rPr>
        <w:t>40</w:t>
      </w:r>
      <w:r>
        <w:rPr>
          <w:rFonts w:hint="eastAsia"/>
          <w:lang w:val="en-US" w:eastAsia="zh-CN"/>
        </w:rPr>
        <w:t xml:space="preserve"> as i</w:t>
      </w:r>
      <w:r>
        <w:rPr>
          <w:rFonts w:hint="eastAsia" w:eastAsia="宋体"/>
          <w:bCs/>
          <w:lang w:val="en-US" w:eastAsia="zh-CN"/>
        </w:rPr>
        <w:t xml:space="preserve">n </w:t>
      </w:r>
      <w:r>
        <w:rPr>
          <w:lang w:eastAsia="zh-CN"/>
        </w:rPr>
        <w:t>SON/MDT</w:t>
      </w:r>
      <w:r>
        <w:rPr>
          <w:lang w:val="en-US" w:eastAsia="zh-CN"/>
        </w:rPr>
        <w:t xml:space="preserve"> </w:t>
      </w:r>
      <w:r>
        <w:rPr>
          <w:rFonts w:hint="eastAsia"/>
          <w:lang w:eastAsia="zh-CN"/>
        </w:rPr>
        <w:t>TC</w:t>
      </w:r>
      <w:r>
        <w:rPr>
          <w:rFonts w:hint="eastAsia"/>
          <w:lang w:val="en-US" w:eastAsia="zh-CN"/>
        </w:rPr>
        <w:t xml:space="preserve"> </w:t>
      </w:r>
      <w:r>
        <w:t>8.1.6.1.2.14</w:t>
      </w:r>
      <w:r>
        <w:rPr>
          <w:rFonts w:hint="eastAsia"/>
          <w:lang w:val="en-US" w:eastAsia="zh-CN"/>
        </w:rPr>
        <w:t xml:space="preserve"> </w:t>
      </w:r>
      <w:r>
        <w:rPr>
          <w:rFonts w:hint="eastAsia"/>
        </w:rPr>
        <w:t>Logged MDT / RRC_IDLE / Logging and reporting / IDC mechanism</w:t>
      </w:r>
      <w:r>
        <w:rPr>
          <w:bCs/>
        </w:rPr>
        <w:t>.</w:t>
      </w:r>
      <w:r>
        <w:rPr>
          <w:rFonts w:hint="eastAsia" w:eastAsia="宋体"/>
          <w:bCs/>
          <w:lang w:val="en-US" w:eastAsia="zh-CN"/>
        </w:rPr>
        <w:t xml:space="preserve"> To enhance the coverage of the IDC test case, more frequency band needs to be added, such as band n41.</w:t>
      </w:r>
    </w:p>
    <w:p w14:paraId="7AD91043">
      <w:pPr>
        <w:jc w:val="both"/>
        <w:rPr>
          <w:rFonts w:hint="eastAsia"/>
          <w:bCs/>
        </w:rPr>
      </w:pPr>
      <w:r>
        <w:rPr>
          <w:rFonts w:hint="eastAsia"/>
          <w:bCs/>
        </w:rPr>
        <w:t>‌Why Band n41</w:t>
      </w:r>
      <w:r>
        <w:rPr>
          <w:rFonts w:hint="eastAsia" w:eastAsia="宋体"/>
          <w:bCs/>
          <w:lang w:val="en-US" w:eastAsia="zh-CN"/>
        </w:rPr>
        <w:t xml:space="preserve"> needs to be tested</w:t>
      </w:r>
      <w:r>
        <w:rPr>
          <w:rFonts w:hint="eastAsia"/>
          <w:bCs/>
        </w:rPr>
        <w:t>?‌</w:t>
      </w:r>
    </w:p>
    <w:p w14:paraId="0ADA0070">
      <w:pPr>
        <w:numPr>
          <w:ilvl w:val="0"/>
          <w:numId w:val="1"/>
        </w:numPr>
        <w:ind w:left="420" w:leftChars="0" w:hanging="420" w:firstLineChars="0"/>
        <w:jc w:val="both"/>
        <w:rPr>
          <w:rFonts w:hint="eastAsia"/>
          <w:bCs/>
        </w:rPr>
      </w:pPr>
      <w:r>
        <w:rPr>
          <w:rFonts w:hint="eastAsia"/>
          <w:bCs/>
        </w:rPr>
        <w:t xml:space="preserve">‌Mandatory in China‌: Band n41 is a ‌required‌ frequency for </w:t>
      </w:r>
      <w:r>
        <w:rPr>
          <w:rFonts w:hint="eastAsia" w:eastAsia="宋体"/>
          <w:bCs/>
          <w:lang w:val="en-US" w:eastAsia="zh-CN"/>
        </w:rPr>
        <w:t>all of the</w:t>
      </w:r>
      <w:r>
        <w:rPr>
          <w:rFonts w:hint="eastAsia"/>
          <w:bCs/>
        </w:rPr>
        <w:t xml:space="preserve"> 5G </w:t>
      </w:r>
      <w:r>
        <w:rPr>
          <w:rFonts w:hint="eastAsia" w:eastAsia="宋体"/>
          <w:bCs/>
          <w:lang w:val="en-US" w:eastAsia="zh-CN"/>
        </w:rPr>
        <w:t>devices</w:t>
      </w:r>
      <w:r>
        <w:rPr>
          <w:rFonts w:hint="eastAsia"/>
          <w:bCs/>
        </w:rPr>
        <w:t xml:space="preserve"> in China, ensuring</w:t>
      </w:r>
      <w:r>
        <w:rPr>
          <w:rFonts w:hint="eastAsia" w:eastAsia="宋体"/>
          <w:bCs/>
          <w:lang w:val="en-US" w:eastAsia="zh-CN"/>
        </w:rPr>
        <w:t xml:space="preserve"> </w:t>
      </w:r>
      <w:r>
        <w:rPr>
          <w:rFonts w:hint="eastAsia"/>
          <w:bCs/>
        </w:rPr>
        <w:t>100% adoption.</w:t>
      </w:r>
    </w:p>
    <w:p w14:paraId="5CA391D1">
      <w:pPr>
        <w:numPr>
          <w:ilvl w:val="0"/>
          <w:numId w:val="1"/>
        </w:numPr>
        <w:ind w:left="420" w:leftChars="0" w:hanging="420" w:firstLineChars="0"/>
        <w:jc w:val="both"/>
        <w:rPr>
          <w:rFonts w:hint="eastAsia"/>
          <w:bCs/>
        </w:rPr>
      </w:pPr>
      <w:r>
        <w:rPr>
          <w:rFonts w:hint="eastAsia"/>
          <w:bCs/>
        </w:rPr>
        <w:t>Broad Global Support</w:t>
      </w:r>
      <w:r>
        <w:rPr>
          <w:rFonts w:hint="eastAsia" w:eastAsia="宋体"/>
          <w:bCs/>
          <w:lang w:val="en-US" w:eastAsia="zh-CN"/>
        </w:rPr>
        <w:t xml:space="preserve">: The GCF </w:t>
      </w:r>
      <w:r>
        <w:rPr>
          <w:rFonts w:hint="eastAsia" w:eastAsia="宋体"/>
          <w:lang w:val="en-US" w:eastAsia="zh-CN"/>
        </w:rPr>
        <w:t>Device Technology Trends Report 2025 [7] highlights the strong global support for band n41, which is supported in almost every 5G device.</w:t>
      </w:r>
    </w:p>
    <w:p w14:paraId="51203D9F">
      <w:pPr>
        <w:numPr>
          <w:ilvl w:val="0"/>
          <w:numId w:val="1"/>
        </w:numPr>
        <w:ind w:left="420" w:leftChars="0" w:hanging="420" w:firstLineChars="0"/>
        <w:jc w:val="both"/>
        <w:rPr>
          <w:rFonts w:hint="eastAsia"/>
          <w:bCs/>
        </w:rPr>
      </w:pPr>
      <w:r>
        <w:rPr>
          <w:rFonts w:hint="eastAsia"/>
          <w:bCs/>
        </w:rPr>
        <w:t xml:space="preserve">‌High </w:t>
      </w:r>
      <w:r>
        <w:rPr>
          <w:rFonts w:hint="eastAsia" w:eastAsia="宋体"/>
          <w:bCs/>
          <w:lang w:val="en-US" w:eastAsia="zh-CN"/>
        </w:rPr>
        <w:t>IDC problem</w:t>
      </w:r>
      <w:r>
        <w:rPr>
          <w:rFonts w:hint="eastAsia"/>
          <w:bCs/>
        </w:rPr>
        <w:t xml:space="preserve"> risk‌: Band n41 (2.5–2.6 GHz) is adjacent to the 2.4 GHz Wi-Fi band</w:t>
      </w:r>
      <w:r>
        <w:rPr>
          <w:rFonts w:hint="eastAsia" w:eastAsia="宋体"/>
          <w:bCs/>
          <w:lang w:val="en-US" w:eastAsia="zh-CN"/>
        </w:rPr>
        <w:t xml:space="preserve"> (up to 2.483GHz)</w:t>
      </w:r>
      <w:r>
        <w:rPr>
          <w:rFonts w:hint="eastAsia"/>
          <w:bCs/>
        </w:rPr>
        <w:t>, making IDC interference highly probable in 5G devices.</w:t>
      </w:r>
    </w:p>
    <w:p w14:paraId="2CC8F521">
      <w:pPr>
        <w:numPr>
          <w:ilvl w:val="0"/>
          <w:numId w:val="1"/>
        </w:numPr>
        <w:ind w:left="420" w:leftChars="0" w:hanging="420" w:firstLineChars="0"/>
        <w:jc w:val="both"/>
        <w:rPr>
          <w:bCs/>
        </w:rPr>
      </w:pPr>
      <w:r>
        <w:rPr>
          <w:rFonts w:hint="eastAsia" w:eastAsia="宋体"/>
          <w:bCs/>
          <w:lang w:val="en-US" w:eastAsia="zh-CN"/>
        </w:rPr>
        <w:t>Large amount of</w:t>
      </w:r>
      <w:r>
        <w:rPr>
          <w:rFonts w:hint="eastAsia"/>
          <w:bCs/>
        </w:rPr>
        <w:t xml:space="preserve"> </w:t>
      </w:r>
      <w:r>
        <w:rPr>
          <w:rFonts w:hint="eastAsia" w:eastAsia="宋体"/>
          <w:bCs/>
          <w:lang w:val="en-US" w:eastAsia="zh-CN"/>
        </w:rPr>
        <w:t xml:space="preserve">2.4GHz </w:t>
      </w:r>
      <w:r>
        <w:rPr>
          <w:rFonts w:hint="eastAsia"/>
          <w:bCs/>
        </w:rPr>
        <w:t xml:space="preserve">Wi-Fi support‌: Most 5G </w:t>
      </w:r>
      <w:r>
        <w:rPr>
          <w:rFonts w:hint="eastAsia" w:eastAsia="宋体"/>
          <w:bCs/>
          <w:lang w:val="en-US" w:eastAsia="zh-CN"/>
        </w:rPr>
        <w:t>devices</w:t>
      </w:r>
      <w:r>
        <w:rPr>
          <w:rFonts w:hint="eastAsia"/>
          <w:bCs/>
        </w:rPr>
        <w:t xml:space="preserve"> support both Band n41 and </w:t>
      </w:r>
      <w:r>
        <w:rPr>
          <w:rFonts w:hint="eastAsia" w:eastAsia="宋体"/>
          <w:bCs/>
          <w:lang w:val="en-US" w:eastAsia="zh-CN"/>
        </w:rPr>
        <w:t xml:space="preserve">2.4GHz </w:t>
      </w:r>
      <w:r>
        <w:rPr>
          <w:rFonts w:hint="eastAsia"/>
          <w:bCs/>
        </w:rPr>
        <w:t>Wi-Fi, further increasing the likelihood of interference.</w:t>
      </w:r>
    </w:p>
    <w:p w14:paraId="6657E4FC">
      <w:pPr>
        <w:jc w:val="both"/>
        <w:rPr>
          <w:bCs/>
        </w:rPr>
      </w:pPr>
      <w:r>
        <w:rPr>
          <w:rFonts w:hint="eastAsia" w:eastAsia="宋体"/>
          <w:bCs/>
          <w:lang w:val="en-US" w:eastAsia="zh-CN"/>
        </w:rPr>
        <w:t>Moreover, RP-182466, which provides the analysis when introduce the in-device co-existence issues in NR, explicitly identifies Band n41 as prone to 2.4GHz Wi-Fi interference, further justifying the need to include n41 testing in IDC test case.</w:t>
      </w:r>
    </w:p>
    <w:p w14:paraId="76F40271">
      <w:pPr>
        <w:jc w:val="both"/>
        <w:rPr>
          <w:bCs/>
        </w:rPr>
      </w:pPr>
      <w:r>
        <w:rPr>
          <w:rFonts w:hint="eastAsia" w:eastAsia="宋体"/>
          <w:bCs/>
          <w:lang w:val="en-US" w:eastAsia="zh-CN"/>
        </w:rPr>
        <w:t>T</w:t>
      </w:r>
      <w:r>
        <w:rPr>
          <w:bCs/>
        </w:rPr>
        <w:t xml:space="preserve">he purpose of this document is to agree a way forward for </w:t>
      </w:r>
      <w:r>
        <w:rPr>
          <w:rFonts w:hint="eastAsia" w:eastAsia="宋体"/>
          <w:bCs/>
          <w:lang w:val="en-US" w:eastAsia="zh-CN"/>
        </w:rPr>
        <w:t>IDC test case for band n41</w:t>
      </w:r>
      <w:r>
        <w:rPr>
          <w:bCs/>
        </w:rPr>
        <w:t>. Some observation and proposal:</w:t>
      </w:r>
    </w:p>
    <w:p w14:paraId="7119CFFE">
      <w:pPr>
        <w:overflowPunct w:val="0"/>
        <w:autoSpaceDE w:val="0"/>
        <w:autoSpaceDN w:val="0"/>
        <w:adjustRightInd w:val="0"/>
        <w:textAlignment w:val="baseline"/>
      </w:pPr>
      <w:r>
        <w:rPr>
          <w:b/>
          <w:bCs/>
        </w:rPr>
        <w:t>Observation 1</w:t>
      </w:r>
      <w:r>
        <w:t>:</w:t>
      </w:r>
    </w:p>
    <w:p w14:paraId="064D4727">
      <w:pPr>
        <w:overflowPunct w:val="0"/>
        <w:autoSpaceDE w:val="0"/>
        <w:autoSpaceDN w:val="0"/>
        <w:adjustRightInd w:val="0"/>
        <w:textAlignment w:val="baseline"/>
        <w:rPr>
          <w:lang w:eastAsia="en-GB"/>
        </w:rPr>
      </w:pPr>
      <w:r>
        <w:rPr>
          <w:lang w:eastAsia="en-GB"/>
        </w:rPr>
        <w:t xml:space="preserve">Test coverage for </w:t>
      </w:r>
      <w:r>
        <w:rPr>
          <w:rFonts w:hint="eastAsia" w:eastAsia="宋体"/>
          <w:lang w:val="en-US" w:eastAsia="zh-CN"/>
        </w:rPr>
        <w:t>logged MDT IDC TC</w:t>
      </w:r>
      <w:r>
        <w:rPr>
          <w:lang w:eastAsia="en-GB"/>
        </w:rPr>
        <w:t xml:space="preserve"> text is </w:t>
      </w:r>
      <w:r>
        <w:rPr>
          <w:rFonts w:hint="eastAsia" w:eastAsia="宋体"/>
          <w:lang w:val="en-US" w:eastAsia="zh-CN"/>
        </w:rPr>
        <w:t>limited.</w:t>
      </w:r>
      <w:r>
        <w:rPr>
          <w:lang w:eastAsia="en-GB"/>
        </w:rPr>
        <w:t xml:space="preserve">  </w:t>
      </w:r>
    </w:p>
    <w:p w14:paraId="6215C3E6">
      <w:pPr>
        <w:overflowPunct w:val="0"/>
        <w:autoSpaceDE w:val="0"/>
        <w:autoSpaceDN w:val="0"/>
        <w:adjustRightInd w:val="0"/>
        <w:textAlignment w:val="baseline"/>
      </w:pPr>
      <w:r>
        <w:rPr>
          <w:b/>
          <w:bCs/>
        </w:rPr>
        <w:t xml:space="preserve">Observation </w:t>
      </w:r>
      <w:r>
        <w:rPr>
          <w:rFonts w:hint="eastAsia" w:eastAsia="宋体"/>
          <w:b/>
          <w:bCs/>
          <w:lang w:val="en-US" w:eastAsia="zh-CN"/>
        </w:rPr>
        <w:t>2</w:t>
      </w:r>
      <w:r>
        <w:t>:</w:t>
      </w:r>
    </w:p>
    <w:p w14:paraId="101A6A0E">
      <w:pPr>
        <w:overflowPunct w:val="0"/>
        <w:autoSpaceDE w:val="0"/>
        <w:autoSpaceDN w:val="0"/>
        <w:adjustRightInd w:val="0"/>
        <w:textAlignment w:val="baseline"/>
        <w:rPr>
          <w:rFonts w:hint="eastAsia" w:eastAsia="宋体"/>
          <w:lang w:val="en-US" w:eastAsia="zh-CN"/>
        </w:rPr>
      </w:pPr>
      <w:r>
        <w:rPr>
          <w:rFonts w:hint="eastAsia"/>
          <w:bCs/>
        </w:rPr>
        <w:t>Band n41</w:t>
      </w:r>
      <w:r>
        <w:rPr>
          <w:rFonts w:hint="eastAsia" w:eastAsia="宋体"/>
          <w:bCs/>
          <w:lang w:val="en-US" w:eastAsia="zh-CN"/>
        </w:rPr>
        <w:t xml:space="preserve"> and 2.4GHz Wi-Fi</w:t>
      </w:r>
      <w:r>
        <w:rPr>
          <w:lang w:eastAsia="en-GB"/>
        </w:rPr>
        <w:t xml:space="preserve"> </w:t>
      </w:r>
      <w:r>
        <w:rPr>
          <w:rFonts w:hint="eastAsia" w:eastAsia="宋体"/>
          <w:lang w:val="en-US" w:eastAsia="zh-CN"/>
        </w:rPr>
        <w:t xml:space="preserve">are supported in almost every 5G devices, which </w:t>
      </w:r>
      <w:r>
        <w:rPr>
          <w:rFonts w:hint="eastAsia"/>
          <w:bCs/>
        </w:rPr>
        <w:t xml:space="preserve">further increasing the likelihood of </w:t>
      </w:r>
      <w:r>
        <w:rPr>
          <w:rFonts w:hint="eastAsia" w:eastAsia="宋体"/>
          <w:bCs/>
          <w:lang w:val="en-US" w:eastAsia="zh-CN"/>
        </w:rPr>
        <w:t xml:space="preserve">IDC </w:t>
      </w:r>
      <w:r>
        <w:rPr>
          <w:rFonts w:hint="eastAsia"/>
          <w:bCs/>
        </w:rPr>
        <w:t>interference</w:t>
      </w:r>
      <w:r>
        <w:rPr>
          <w:rFonts w:hint="eastAsia" w:eastAsia="宋体"/>
          <w:bCs/>
          <w:lang w:val="en-US" w:eastAsia="zh-CN"/>
        </w:rPr>
        <w:t>.</w:t>
      </w:r>
    </w:p>
    <w:p w14:paraId="1CE392B5">
      <w:pPr>
        <w:overflowPunct w:val="0"/>
        <w:autoSpaceDE w:val="0"/>
        <w:autoSpaceDN w:val="0"/>
        <w:adjustRightInd w:val="0"/>
        <w:textAlignment w:val="baseline"/>
      </w:pPr>
      <w:r>
        <w:rPr>
          <w:b/>
          <w:bCs/>
        </w:rPr>
        <w:t xml:space="preserve">Observation </w:t>
      </w:r>
      <w:r>
        <w:rPr>
          <w:rFonts w:hint="eastAsia" w:eastAsia="宋体"/>
          <w:b/>
          <w:bCs/>
          <w:lang w:val="en-US" w:eastAsia="zh-CN"/>
        </w:rPr>
        <w:t>3</w:t>
      </w:r>
      <w:r>
        <w:t>:</w:t>
      </w:r>
    </w:p>
    <w:p w14:paraId="32656114">
      <w:pPr>
        <w:overflowPunct w:val="0"/>
        <w:autoSpaceDE w:val="0"/>
        <w:autoSpaceDN w:val="0"/>
        <w:adjustRightInd w:val="0"/>
        <w:textAlignment w:val="baseline"/>
        <w:rPr>
          <w:rFonts w:hint="default"/>
          <w:lang w:val="en-US" w:eastAsia="en-GB"/>
        </w:rPr>
      </w:pPr>
      <w:r>
        <w:rPr>
          <w:rFonts w:hint="eastAsia" w:eastAsia="宋体"/>
          <w:bCs/>
          <w:lang w:val="en-US" w:eastAsia="zh-CN"/>
        </w:rPr>
        <w:t>The analysis when discuss the introduction of in-device co-existence issues in NR explicitly identifies Band n41 as prone to 2.4GHz Wi-Fi interference.</w:t>
      </w:r>
    </w:p>
    <w:p w14:paraId="5DAF4AA7">
      <w:pPr>
        <w:overflowPunct w:val="0"/>
        <w:autoSpaceDE w:val="0"/>
        <w:autoSpaceDN w:val="0"/>
        <w:adjustRightInd w:val="0"/>
        <w:textAlignment w:val="baseline"/>
      </w:pPr>
      <w:r>
        <w:rPr>
          <w:b/>
          <w:bCs/>
        </w:rPr>
        <w:t>Proposal 1</w:t>
      </w:r>
      <w:r>
        <w:t>:</w:t>
      </w:r>
    </w:p>
    <w:p w14:paraId="56428936">
      <w:pPr>
        <w:rPr>
          <w:bCs/>
        </w:rPr>
      </w:pPr>
      <w:r>
        <w:rPr>
          <w:lang w:eastAsia="en-GB"/>
        </w:rPr>
        <w:t xml:space="preserve">It’s proposed to add </w:t>
      </w:r>
      <w:r>
        <w:rPr>
          <w:rFonts w:hint="eastAsia" w:eastAsia="宋体"/>
          <w:lang w:val="en-US" w:eastAsia="zh-CN"/>
        </w:rPr>
        <w:t>new SON/MDT IDC</w:t>
      </w:r>
      <w:r>
        <w:rPr>
          <w:lang w:eastAsia="en-GB"/>
        </w:rPr>
        <w:t xml:space="preserve"> test case to </w:t>
      </w:r>
      <w:r>
        <w:rPr>
          <w:rFonts w:hint="eastAsia" w:eastAsia="宋体"/>
          <w:lang w:val="en-US" w:eastAsia="zh-CN"/>
        </w:rPr>
        <w:t>support the test frequency band n41</w:t>
      </w:r>
      <w:r>
        <w:rPr>
          <w:lang w:eastAsia="en-GB"/>
        </w:rPr>
        <w:t xml:space="preserve">. </w:t>
      </w:r>
    </w:p>
    <w:p w14:paraId="4FD8F02B">
      <w:pPr>
        <w:rPr>
          <w:lang w:eastAsia="en-GB"/>
        </w:rPr>
      </w:pPr>
    </w:p>
    <w:p w14:paraId="25154AB7">
      <w:pPr>
        <w:rPr>
          <w:bCs/>
        </w:rPr>
      </w:pPr>
      <w:r>
        <w:rPr>
          <w:lang w:eastAsia="en-GB"/>
        </w:rPr>
        <w:t>Some initial Tdocs [</w:t>
      </w:r>
      <w:r>
        <w:rPr>
          <w:rFonts w:hint="eastAsia" w:eastAsia="宋体"/>
          <w:lang w:val="en-US" w:eastAsia="zh-CN"/>
        </w:rPr>
        <w:t>4</w:t>
      </w:r>
      <w:r>
        <w:rPr>
          <w:lang w:eastAsia="en-GB"/>
        </w:rPr>
        <w:t xml:space="preserve">] </w:t>
      </w:r>
      <w:r>
        <w:rPr>
          <w:rFonts w:hint="eastAsia" w:eastAsia="宋体"/>
          <w:lang w:val="en-US" w:eastAsia="zh-CN"/>
        </w:rPr>
        <w:t>and</w:t>
      </w:r>
      <w:r>
        <w:rPr>
          <w:lang w:eastAsia="en-GB"/>
        </w:rPr>
        <w:t xml:space="preserve"> [</w:t>
      </w:r>
      <w:r>
        <w:rPr>
          <w:rFonts w:hint="eastAsia" w:eastAsia="宋体"/>
          <w:lang w:val="en-US" w:eastAsia="zh-CN"/>
        </w:rPr>
        <w:t>5</w:t>
      </w:r>
      <w:r>
        <w:rPr>
          <w:lang w:eastAsia="en-GB"/>
        </w:rPr>
        <w:t xml:space="preserve">] are available for this meeting. </w:t>
      </w:r>
    </w:p>
    <w:p w14:paraId="3078DC53">
      <w:pPr>
        <w:pStyle w:val="2"/>
      </w:pPr>
      <w:r>
        <w:t>3</w:t>
      </w:r>
      <w:r>
        <w:tab/>
      </w:r>
      <w:r>
        <w:t>Proposal</w:t>
      </w:r>
    </w:p>
    <w:p w14:paraId="27A93C83">
      <w:r>
        <w:t xml:space="preserve">It’s proposed to implement the proposal </w:t>
      </w:r>
      <w:r>
        <w:rPr>
          <w:rFonts w:hint="eastAsia" w:eastAsia="宋体"/>
          <w:lang w:val="en-US" w:eastAsia="zh-CN"/>
        </w:rPr>
        <w:t>1</w:t>
      </w:r>
      <w:r>
        <w:t>.</w:t>
      </w:r>
    </w:p>
    <w:p w14:paraId="228337B2">
      <w:pPr>
        <w:pStyle w:val="2"/>
      </w:pPr>
      <w:r>
        <w:t>4</w:t>
      </w:r>
      <w:r>
        <w:tab/>
      </w:r>
      <w:r>
        <w:t>References</w:t>
      </w:r>
    </w:p>
    <w:bookmarkEnd w:id="0"/>
    <w:p w14:paraId="164841E3">
      <w:pPr>
        <w:rPr>
          <w:rFonts w:hint="eastAsia" w:eastAsia="宋体"/>
          <w:lang w:val="en-US" w:eastAsia="zh-CN"/>
        </w:rPr>
      </w:pPr>
      <w:r>
        <w:rPr>
          <w:lang w:val="en-US"/>
        </w:rPr>
        <w:t xml:space="preserve">[1] </w:t>
      </w:r>
      <w:r>
        <w:rPr>
          <w:rFonts w:hint="eastAsia" w:eastAsia="宋体"/>
          <w:lang w:val="en-US" w:eastAsia="zh-CN"/>
        </w:rPr>
        <w:t>TS 38.331-i60</w:t>
      </w:r>
    </w:p>
    <w:p w14:paraId="272D4DC6">
      <w:pPr>
        <w:rPr>
          <w:rFonts w:hint="eastAsia" w:eastAsia="宋体"/>
          <w:lang w:val="en-US" w:eastAsia="zh-CN"/>
        </w:rPr>
      </w:pPr>
      <w:r>
        <w:rPr>
          <w:rFonts w:hint="eastAsia" w:eastAsia="宋体"/>
          <w:lang w:val="en-US" w:eastAsia="zh-CN"/>
        </w:rPr>
        <w:t>[2] TS 38.523-1-j10</w:t>
      </w:r>
    </w:p>
    <w:p w14:paraId="0C488BB9">
      <w:pPr>
        <w:rPr>
          <w:rFonts w:hint="eastAsia" w:eastAsia="宋体"/>
          <w:lang w:val="en-US" w:eastAsia="zh-CN"/>
        </w:rPr>
      </w:pPr>
      <w:r>
        <w:rPr>
          <w:rFonts w:hint="eastAsia" w:eastAsia="宋体"/>
          <w:lang w:val="en-US" w:eastAsia="zh-CN"/>
        </w:rPr>
        <w:t>[3] TS 38.523-2-j12</w:t>
      </w:r>
    </w:p>
    <w:p w14:paraId="13E49BC3">
      <w:pPr>
        <w:rPr>
          <w:rFonts w:hint="eastAsia" w:eastAsia="宋体"/>
          <w:lang w:val="en-US" w:eastAsia="zh-CN"/>
        </w:rPr>
      </w:pPr>
      <w:r>
        <w:rPr>
          <w:rFonts w:hint="eastAsia" w:eastAsia="宋体"/>
          <w:lang w:val="en-US" w:eastAsia="zh-CN"/>
        </w:rPr>
        <w:t>[4] R5-253924 Addition of new test case 8.1.6.1.2.14A for SONMDT</w:t>
      </w:r>
    </w:p>
    <w:p w14:paraId="7D480432">
      <w:pPr>
        <w:rPr>
          <w:rFonts w:hint="eastAsia" w:eastAsia="宋体"/>
          <w:lang w:val="en-US" w:eastAsia="zh-CN"/>
        </w:rPr>
      </w:pPr>
      <w:r>
        <w:rPr>
          <w:rFonts w:hint="eastAsia" w:eastAsia="宋体"/>
          <w:lang w:val="en-US" w:eastAsia="zh-CN"/>
        </w:rPr>
        <w:t>[5] R5-253925 Addition of applicability for new SONMDT TC 8.1.6.1.2.14A</w:t>
      </w:r>
    </w:p>
    <w:p w14:paraId="3D326B09">
      <w:pPr>
        <w:rPr>
          <w:rFonts w:hint="eastAsia" w:eastAsia="宋体"/>
          <w:lang w:val="en-US" w:eastAsia="zh-CN"/>
        </w:rPr>
      </w:pPr>
      <w:r>
        <w:rPr>
          <w:rFonts w:hint="eastAsia" w:eastAsia="宋体"/>
          <w:lang w:val="en-US" w:eastAsia="zh-CN"/>
        </w:rPr>
        <w:t>[6] RP-182466 Resolution of in-device issue in NR</w:t>
      </w:r>
    </w:p>
    <w:p w14:paraId="1B5A6BE8">
      <w:pPr>
        <w:rPr>
          <w:rFonts w:hint="default" w:eastAsia="宋体"/>
          <w:lang w:val="en-US" w:eastAsia="zh-CN"/>
        </w:rPr>
      </w:pPr>
      <w:r>
        <w:rPr>
          <w:rFonts w:hint="eastAsia" w:eastAsia="宋体"/>
          <w:lang w:val="en-US" w:eastAsia="zh-CN"/>
        </w:rPr>
        <w:t>[7] GCF Device Technology Trends Report 2025</w:t>
      </w:r>
    </w:p>
    <w:p w14:paraId="2793DA93"/>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EU Albertina">
    <w:altName w:val="Cambri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CA247">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6B61A">
    <w:pPr>
      <w:pStyle w:val="23"/>
    </w:pPr>
  </w:p>
  <w:p w14:paraId="1394CE27">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EA901"/>
    <w:multiLevelType w:val="singleLevel"/>
    <w:tmpl w:val="846EA901"/>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D37"/>
    <w:rsid w:val="00006B9D"/>
    <w:rsid w:val="00010E43"/>
    <w:rsid w:val="00012231"/>
    <w:rsid w:val="00012F99"/>
    <w:rsid w:val="00017307"/>
    <w:rsid w:val="000270F6"/>
    <w:rsid w:val="00027B79"/>
    <w:rsid w:val="000309EE"/>
    <w:rsid w:val="000321C0"/>
    <w:rsid w:val="00033397"/>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5DEF"/>
    <w:rsid w:val="000865E7"/>
    <w:rsid w:val="000932D0"/>
    <w:rsid w:val="00093BDD"/>
    <w:rsid w:val="000969CC"/>
    <w:rsid w:val="000A00E0"/>
    <w:rsid w:val="000A3278"/>
    <w:rsid w:val="000A4F9F"/>
    <w:rsid w:val="000B0F78"/>
    <w:rsid w:val="000C21A2"/>
    <w:rsid w:val="000C671F"/>
    <w:rsid w:val="000D0D95"/>
    <w:rsid w:val="000D58AB"/>
    <w:rsid w:val="000E1519"/>
    <w:rsid w:val="000E6286"/>
    <w:rsid w:val="000E69C2"/>
    <w:rsid w:val="000F0ECA"/>
    <w:rsid w:val="000F6FD4"/>
    <w:rsid w:val="00101DD1"/>
    <w:rsid w:val="00103618"/>
    <w:rsid w:val="0010748B"/>
    <w:rsid w:val="00107F7E"/>
    <w:rsid w:val="001127F9"/>
    <w:rsid w:val="00125A53"/>
    <w:rsid w:val="00133007"/>
    <w:rsid w:val="00137730"/>
    <w:rsid w:val="00167D79"/>
    <w:rsid w:val="00171115"/>
    <w:rsid w:val="0017169B"/>
    <w:rsid w:val="00173814"/>
    <w:rsid w:val="00174FD2"/>
    <w:rsid w:val="00180489"/>
    <w:rsid w:val="0018464A"/>
    <w:rsid w:val="00191118"/>
    <w:rsid w:val="0019276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E0A"/>
    <w:rsid w:val="001F168B"/>
    <w:rsid w:val="001F6366"/>
    <w:rsid w:val="002000D0"/>
    <w:rsid w:val="00205373"/>
    <w:rsid w:val="00215446"/>
    <w:rsid w:val="00222E67"/>
    <w:rsid w:val="00223E31"/>
    <w:rsid w:val="00231883"/>
    <w:rsid w:val="002347A2"/>
    <w:rsid w:val="00243E1C"/>
    <w:rsid w:val="0024670C"/>
    <w:rsid w:val="00246B77"/>
    <w:rsid w:val="00256E36"/>
    <w:rsid w:val="002667B5"/>
    <w:rsid w:val="0027477D"/>
    <w:rsid w:val="00281CE7"/>
    <w:rsid w:val="00283A00"/>
    <w:rsid w:val="00296681"/>
    <w:rsid w:val="00297B93"/>
    <w:rsid w:val="002A1AC4"/>
    <w:rsid w:val="002A4CF6"/>
    <w:rsid w:val="002A4E3E"/>
    <w:rsid w:val="002A55C3"/>
    <w:rsid w:val="002A7AE7"/>
    <w:rsid w:val="002C1A00"/>
    <w:rsid w:val="002C52F0"/>
    <w:rsid w:val="002D17A2"/>
    <w:rsid w:val="002D4166"/>
    <w:rsid w:val="002D452F"/>
    <w:rsid w:val="002D79A4"/>
    <w:rsid w:val="002E2D86"/>
    <w:rsid w:val="002E4D73"/>
    <w:rsid w:val="002E614B"/>
    <w:rsid w:val="002F1D87"/>
    <w:rsid w:val="002F7D84"/>
    <w:rsid w:val="002F7FDC"/>
    <w:rsid w:val="00301404"/>
    <w:rsid w:val="00313BE7"/>
    <w:rsid w:val="0031522F"/>
    <w:rsid w:val="003172DC"/>
    <w:rsid w:val="003214C7"/>
    <w:rsid w:val="003234FB"/>
    <w:rsid w:val="00331C9E"/>
    <w:rsid w:val="003323F7"/>
    <w:rsid w:val="00337579"/>
    <w:rsid w:val="003449D3"/>
    <w:rsid w:val="00345F98"/>
    <w:rsid w:val="003460EE"/>
    <w:rsid w:val="00352532"/>
    <w:rsid w:val="00352B6C"/>
    <w:rsid w:val="0035462D"/>
    <w:rsid w:val="0035487A"/>
    <w:rsid w:val="00354D2B"/>
    <w:rsid w:val="00354EA8"/>
    <w:rsid w:val="00357BE0"/>
    <w:rsid w:val="003642EC"/>
    <w:rsid w:val="00377314"/>
    <w:rsid w:val="00380D7A"/>
    <w:rsid w:val="0038401B"/>
    <w:rsid w:val="00385340"/>
    <w:rsid w:val="003900B2"/>
    <w:rsid w:val="003923CB"/>
    <w:rsid w:val="00395F76"/>
    <w:rsid w:val="00396C31"/>
    <w:rsid w:val="00397D69"/>
    <w:rsid w:val="003B102F"/>
    <w:rsid w:val="003B1069"/>
    <w:rsid w:val="003B4CA5"/>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78E6"/>
    <w:rsid w:val="00421168"/>
    <w:rsid w:val="004270F9"/>
    <w:rsid w:val="00427A16"/>
    <w:rsid w:val="00431C7B"/>
    <w:rsid w:val="00432901"/>
    <w:rsid w:val="004338A3"/>
    <w:rsid w:val="00456FEB"/>
    <w:rsid w:val="00457937"/>
    <w:rsid w:val="00463D69"/>
    <w:rsid w:val="00475FB7"/>
    <w:rsid w:val="004774A9"/>
    <w:rsid w:val="00485852"/>
    <w:rsid w:val="004859DE"/>
    <w:rsid w:val="00491780"/>
    <w:rsid w:val="00491BF3"/>
    <w:rsid w:val="00491CDD"/>
    <w:rsid w:val="00492F46"/>
    <w:rsid w:val="004A2014"/>
    <w:rsid w:val="004A3A02"/>
    <w:rsid w:val="004A4DC4"/>
    <w:rsid w:val="004A5ADE"/>
    <w:rsid w:val="004A6AFE"/>
    <w:rsid w:val="004B26A8"/>
    <w:rsid w:val="004C7A41"/>
    <w:rsid w:val="004D06D4"/>
    <w:rsid w:val="004D12C1"/>
    <w:rsid w:val="004D31FF"/>
    <w:rsid w:val="004D33CC"/>
    <w:rsid w:val="004D3578"/>
    <w:rsid w:val="004E0F24"/>
    <w:rsid w:val="004E1758"/>
    <w:rsid w:val="004E213A"/>
    <w:rsid w:val="004E3DC9"/>
    <w:rsid w:val="004E4C79"/>
    <w:rsid w:val="004F1B55"/>
    <w:rsid w:val="004F6B39"/>
    <w:rsid w:val="00501A9E"/>
    <w:rsid w:val="005021E5"/>
    <w:rsid w:val="00512C49"/>
    <w:rsid w:val="00512EA9"/>
    <w:rsid w:val="0051341C"/>
    <w:rsid w:val="005209AE"/>
    <w:rsid w:val="00525DF6"/>
    <w:rsid w:val="005275C5"/>
    <w:rsid w:val="005305BA"/>
    <w:rsid w:val="005347D3"/>
    <w:rsid w:val="00540EEE"/>
    <w:rsid w:val="005414EF"/>
    <w:rsid w:val="00541788"/>
    <w:rsid w:val="00543E6C"/>
    <w:rsid w:val="00545A21"/>
    <w:rsid w:val="00545E95"/>
    <w:rsid w:val="00546838"/>
    <w:rsid w:val="00553A83"/>
    <w:rsid w:val="00565087"/>
    <w:rsid w:val="00565D2D"/>
    <w:rsid w:val="00571133"/>
    <w:rsid w:val="00572BB3"/>
    <w:rsid w:val="0057374C"/>
    <w:rsid w:val="005803B9"/>
    <w:rsid w:val="005836AB"/>
    <w:rsid w:val="005858B9"/>
    <w:rsid w:val="0059290A"/>
    <w:rsid w:val="005932EC"/>
    <w:rsid w:val="0059362F"/>
    <w:rsid w:val="005A0F20"/>
    <w:rsid w:val="005A7485"/>
    <w:rsid w:val="005B3FB2"/>
    <w:rsid w:val="005B7B63"/>
    <w:rsid w:val="005C3A06"/>
    <w:rsid w:val="005C506F"/>
    <w:rsid w:val="005D0C9B"/>
    <w:rsid w:val="005D28E4"/>
    <w:rsid w:val="005D2E01"/>
    <w:rsid w:val="005D60C0"/>
    <w:rsid w:val="005E3AF3"/>
    <w:rsid w:val="005E53FE"/>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4419D"/>
    <w:rsid w:val="00651FF8"/>
    <w:rsid w:val="00657C6D"/>
    <w:rsid w:val="00666019"/>
    <w:rsid w:val="00666D00"/>
    <w:rsid w:val="00673192"/>
    <w:rsid w:val="00676172"/>
    <w:rsid w:val="00680804"/>
    <w:rsid w:val="00685A53"/>
    <w:rsid w:val="00692AEE"/>
    <w:rsid w:val="006936D0"/>
    <w:rsid w:val="00694E91"/>
    <w:rsid w:val="006A12FF"/>
    <w:rsid w:val="006B335E"/>
    <w:rsid w:val="006B79D7"/>
    <w:rsid w:val="006D15F9"/>
    <w:rsid w:val="006D3E3E"/>
    <w:rsid w:val="006E0E6A"/>
    <w:rsid w:val="006E1907"/>
    <w:rsid w:val="006E5C86"/>
    <w:rsid w:val="006E66A3"/>
    <w:rsid w:val="006F7424"/>
    <w:rsid w:val="006F7658"/>
    <w:rsid w:val="007002A3"/>
    <w:rsid w:val="00704118"/>
    <w:rsid w:val="00704650"/>
    <w:rsid w:val="00706AE7"/>
    <w:rsid w:val="00714FE6"/>
    <w:rsid w:val="00715AD5"/>
    <w:rsid w:val="007169D3"/>
    <w:rsid w:val="007235F8"/>
    <w:rsid w:val="007242E3"/>
    <w:rsid w:val="007250B8"/>
    <w:rsid w:val="007331B6"/>
    <w:rsid w:val="00734A5B"/>
    <w:rsid w:val="0074103A"/>
    <w:rsid w:val="007424B9"/>
    <w:rsid w:val="00743032"/>
    <w:rsid w:val="00744E76"/>
    <w:rsid w:val="00746A30"/>
    <w:rsid w:val="0074761E"/>
    <w:rsid w:val="00751F4B"/>
    <w:rsid w:val="00754E21"/>
    <w:rsid w:val="0076012D"/>
    <w:rsid w:val="00760712"/>
    <w:rsid w:val="007627B1"/>
    <w:rsid w:val="00774F02"/>
    <w:rsid w:val="00776A13"/>
    <w:rsid w:val="007809D5"/>
    <w:rsid w:val="00781F0F"/>
    <w:rsid w:val="00781F96"/>
    <w:rsid w:val="00786382"/>
    <w:rsid w:val="00792622"/>
    <w:rsid w:val="00796E92"/>
    <w:rsid w:val="00797BB2"/>
    <w:rsid w:val="007A61B1"/>
    <w:rsid w:val="007A7635"/>
    <w:rsid w:val="007B4019"/>
    <w:rsid w:val="007B484F"/>
    <w:rsid w:val="007B59ED"/>
    <w:rsid w:val="007C0AC2"/>
    <w:rsid w:val="007C2500"/>
    <w:rsid w:val="007C29E0"/>
    <w:rsid w:val="007C3A3F"/>
    <w:rsid w:val="007C6CBF"/>
    <w:rsid w:val="007D4337"/>
    <w:rsid w:val="007D6C9C"/>
    <w:rsid w:val="007E0DBB"/>
    <w:rsid w:val="007F2E74"/>
    <w:rsid w:val="007F3AC1"/>
    <w:rsid w:val="007F4E93"/>
    <w:rsid w:val="008017D3"/>
    <w:rsid w:val="00801A7A"/>
    <w:rsid w:val="008028A4"/>
    <w:rsid w:val="00805652"/>
    <w:rsid w:val="008101DF"/>
    <w:rsid w:val="00815BDB"/>
    <w:rsid w:val="008361FE"/>
    <w:rsid w:val="0083754B"/>
    <w:rsid w:val="00845AB2"/>
    <w:rsid w:val="008603ED"/>
    <w:rsid w:val="00864103"/>
    <w:rsid w:val="00870C49"/>
    <w:rsid w:val="008768CA"/>
    <w:rsid w:val="00880BBC"/>
    <w:rsid w:val="0088464B"/>
    <w:rsid w:val="008863E3"/>
    <w:rsid w:val="008866E1"/>
    <w:rsid w:val="00891285"/>
    <w:rsid w:val="008918F2"/>
    <w:rsid w:val="00892E18"/>
    <w:rsid w:val="0089443E"/>
    <w:rsid w:val="0089470A"/>
    <w:rsid w:val="00895935"/>
    <w:rsid w:val="00896992"/>
    <w:rsid w:val="008A0165"/>
    <w:rsid w:val="008A01AA"/>
    <w:rsid w:val="008A47E3"/>
    <w:rsid w:val="008A6CDF"/>
    <w:rsid w:val="008A7996"/>
    <w:rsid w:val="008A7AD2"/>
    <w:rsid w:val="008B3E8C"/>
    <w:rsid w:val="008B4C90"/>
    <w:rsid w:val="008C03B2"/>
    <w:rsid w:val="008C7BA2"/>
    <w:rsid w:val="008D48BC"/>
    <w:rsid w:val="008D55D1"/>
    <w:rsid w:val="008D7350"/>
    <w:rsid w:val="008D7CD1"/>
    <w:rsid w:val="008F22F8"/>
    <w:rsid w:val="008F5A6F"/>
    <w:rsid w:val="0090271F"/>
    <w:rsid w:val="00902E23"/>
    <w:rsid w:val="0091181E"/>
    <w:rsid w:val="0091348E"/>
    <w:rsid w:val="009139EC"/>
    <w:rsid w:val="00917CCB"/>
    <w:rsid w:val="009222C6"/>
    <w:rsid w:val="009310DE"/>
    <w:rsid w:val="00937971"/>
    <w:rsid w:val="00941A0B"/>
    <w:rsid w:val="00941D49"/>
    <w:rsid w:val="009421B6"/>
    <w:rsid w:val="0094268B"/>
    <w:rsid w:val="00942EC2"/>
    <w:rsid w:val="00942F57"/>
    <w:rsid w:val="0094389A"/>
    <w:rsid w:val="00943FDB"/>
    <w:rsid w:val="00952706"/>
    <w:rsid w:val="0095713D"/>
    <w:rsid w:val="00961CD4"/>
    <w:rsid w:val="00962902"/>
    <w:rsid w:val="00962D3F"/>
    <w:rsid w:val="009765D4"/>
    <w:rsid w:val="00981286"/>
    <w:rsid w:val="009910B2"/>
    <w:rsid w:val="00993BFE"/>
    <w:rsid w:val="00996271"/>
    <w:rsid w:val="009A0012"/>
    <w:rsid w:val="009A6401"/>
    <w:rsid w:val="009A6F80"/>
    <w:rsid w:val="009B0D1E"/>
    <w:rsid w:val="009B34D1"/>
    <w:rsid w:val="009B64C9"/>
    <w:rsid w:val="009C0DA9"/>
    <w:rsid w:val="009C77F6"/>
    <w:rsid w:val="009C784E"/>
    <w:rsid w:val="009D5578"/>
    <w:rsid w:val="009E235E"/>
    <w:rsid w:val="009F37B7"/>
    <w:rsid w:val="00A00CC3"/>
    <w:rsid w:val="00A0661A"/>
    <w:rsid w:val="00A10302"/>
    <w:rsid w:val="00A10F02"/>
    <w:rsid w:val="00A164B4"/>
    <w:rsid w:val="00A21D2D"/>
    <w:rsid w:val="00A22D2D"/>
    <w:rsid w:val="00A238C1"/>
    <w:rsid w:val="00A2454A"/>
    <w:rsid w:val="00A25AE3"/>
    <w:rsid w:val="00A32E40"/>
    <w:rsid w:val="00A32EAF"/>
    <w:rsid w:val="00A333E2"/>
    <w:rsid w:val="00A338A9"/>
    <w:rsid w:val="00A340FD"/>
    <w:rsid w:val="00A35776"/>
    <w:rsid w:val="00A421C6"/>
    <w:rsid w:val="00A44709"/>
    <w:rsid w:val="00A4653D"/>
    <w:rsid w:val="00A50EE7"/>
    <w:rsid w:val="00A52135"/>
    <w:rsid w:val="00A53724"/>
    <w:rsid w:val="00A53AAD"/>
    <w:rsid w:val="00A62069"/>
    <w:rsid w:val="00A63231"/>
    <w:rsid w:val="00A66FB3"/>
    <w:rsid w:val="00A67024"/>
    <w:rsid w:val="00A74503"/>
    <w:rsid w:val="00A74751"/>
    <w:rsid w:val="00A80309"/>
    <w:rsid w:val="00A81463"/>
    <w:rsid w:val="00A82346"/>
    <w:rsid w:val="00A862E2"/>
    <w:rsid w:val="00A9178D"/>
    <w:rsid w:val="00A92709"/>
    <w:rsid w:val="00A95C5F"/>
    <w:rsid w:val="00A95DBC"/>
    <w:rsid w:val="00AA081B"/>
    <w:rsid w:val="00AA4068"/>
    <w:rsid w:val="00AA4F59"/>
    <w:rsid w:val="00AA7A47"/>
    <w:rsid w:val="00AB3704"/>
    <w:rsid w:val="00AB46D4"/>
    <w:rsid w:val="00AD1B7D"/>
    <w:rsid w:val="00AE1A38"/>
    <w:rsid w:val="00AE2043"/>
    <w:rsid w:val="00AF4B0F"/>
    <w:rsid w:val="00AF5464"/>
    <w:rsid w:val="00B000E1"/>
    <w:rsid w:val="00B003D6"/>
    <w:rsid w:val="00B016B0"/>
    <w:rsid w:val="00B03110"/>
    <w:rsid w:val="00B1364B"/>
    <w:rsid w:val="00B15449"/>
    <w:rsid w:val="00B16879"/>
    <w:rsid w:val="00B17BBE"/>
    <w:rsid w:val="00B21423"/>
    <w:rsid w:val="00B216CE"/>
    <w:rsid w:val="00B25887"/>
    <w:rsid w:val="00B26219"/>
    <w:rsid w:val="00B27638"/>
    <w:rsid w:val="00B32F6D"/>
    <w:rsid w:val="00B37A39"/>
    <w:rsid w:val="00B42EFA"/>
    <w:rsid w:val="00B4322D"/>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94F51"/>
    <w:rsid w:val="00BA073E"/>
    <w:rsid w:val="00BA14A2"/>
    <w:rsid w:val="00BA2B03"/>
    <w:rsid w:val="00BA6501"/>
    <w:rsid w:val="00BA6A3D"/>
    <w:rsid w:val="00BA6F76"/>
    <w:rsid w:val="00BB088C"/>
    <w:rsid w:val="00BB4162"/>
    <w:rsid w:val="00BB6A16"/>
    <w:rsid w:val="00BC0F7D"/>
    <w:rsid w:val="00BC28D4"/>
    <w:rsid w:val="00BC62CE"/>
    <w:rsid w:val="00BD153C"/>
    <w:rsid w:val="00BF16E4"/>
    <w:rsid w:val="00C020A7"/>
    <w:rsid w:val="00C05FF9"/>
    <w:rsid w:val="00C062D0"/>
    <w:rsid w:val="00C1096E"/>
    <w:rsid w:val="00C25650"/>
    <w:rsid w:val="00C33079"/>
    <w:rsid w:val="00C3596E"/>
    <w:rsid w:val="00C40EC8"/>
    <w:rsid w:val="00C41AD1"/>
    <w:rsid w:val="00C45231"/>
    <w:rsid w:val="00C45871"/>
    <w:rsid w:val="00C46D32"/>
    <w:rsid w:val="00C5106D"/>
    <w:rsid w:val="00C51FA3"/>
    <w:rsid w:val="00C520AE"/>
    <w:rsid w:val="00C55293"/>
    <w:rsid w:val="00C553AB"/>
    <w:rsid w:val="00C64B1D"/>
    <w:rsid w:val="00C65A18"/>
    <w:rsid w:val="00C65EC4"/>
    <w:rsid w:val="00C71AFB"/>
    <w:rsid w:val="00C72833"/>
    <w:rsid w:val="00C81A1F"/>
    <w:rsid w:val="00C84AF1"/>
    <w:rsid w:val="00C903F3"/>
    <w:rsid w:val="00C93F40"/>
    <w:rsid w:val="00C943C2"/>
    <w:rsid w:val="00C94FB7"/>
    <w:rsid w:val="00C967D6"/>
    <w:rsid w:val="00CA3D0C"/>
    <w:rsid w:val="00CA64F9"/>
    <w:rsid w:val="00CB1F4C"/>
    <w:rsid w:val="00CB5FB7"/>
    <w:rsid w:val="00CC085E"/>
    <w:rsid w:val="00CC13BA"/>
    <w:rsid w:val="00CC51A2"/>
    <w:rsid w:val="00CD1295"/>
    <w:rsid w:val="00CD33A1"/>
    <w:rsid w:val="00CD5F5B"/>
    <w:rsid w:val="00CE3DAA"/>
    <w:rsid w:val="00CF183F"/>
    <w:rsid w:val="00CF3A99"/>
    <w:rsid w:val="00CF692C"/>
    <w:rsid w:val="00CF6C9F"/>
    <w:rsid w:val="00D01B10"/>
    <w:rsid w:val="00D1097C"/>
    <w:rsid w:val="00D114E6"/>
    <w:rsid w:val="00D128CB"/>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646A7"/>
    <w:rsid w:val="00D65742"/>
    <w:rsid w:val="00D704DE"/>
    <w:rsid w:val="00D738D6"/>
    <w:rsid w:val="00D755EB"/>
    <w:rsid w:val="00D75BD0"/>
    <w:rsid w:val="00D76830"/>
    <w:rsid w:val="00D80C56"/>
    <w:rsid w:val="00D86400"/>
    <w:rsid w:val="00D87E00"/>
    <w:rsid w:val="00D9011D"/>
    <w:rsid w:val="00D9134D"/>
    <w:rsid w:val="00D96BA3"/>
    <w:rsid w:val="00DA0F39"/>
    <w:rsid w:val="00DA7A03"/>
    <w:rsid w:val="00DB1818"/>
    <w:rsid w:val="00DB3ED2"/>
    <w:rsid w:val="00DB4F00"/>
    <w:rsid w:val="00DC2F86"/>
    <w:rsid w:val="00DC309B"/>
    <w:rsid w:val="00DC4DA2"/>
    <w:rsid w:val="00DD0FD9"/>
    <w:rsid w:val="00DD43AE"/>
    <w:rsid w:val="00DE147F"/>
    <w:rsid w:val="00DE429A"/>
    <w:rsid w:val="00DE4399"/>
    <w:rsid w:val="00DF2B1F"/>
    <w:rsid w:val="00DF4319"/>
    <w:rsid w:val="00DF62CD"/>
    <w:rsid w:val="00E006FA"/>
    <w:rsid w:val="00E12B53"/>
    <w:rsid w:val="00E14D3D"/>
    <w:rsid w:val="00E15F13"/>
    <w:rsid w:val="00E164D5"/>
    <w:rsid w:val="00E27D80"/>
    <w:rsid w:val="00E32B07"/>
    <w:rsid w:val="00E338CB"/>
    <w:rsid w:val="00E33B94"/>
    <w:rsid w:val="00E35ED1"/>
    <w:rsid w:val="00E403D0"/>
    <w:rsid w:val="00E477B4"/>
    <w:rsid w:val="00E47B12"/>
    <w:rsid w:val="00E57393"/>
    <w:rsid w:val="00E5753E"/>
    <w:rsid w:val="00E61B20"/>
    <w:rsid w:val="00E72015"/>
    <w:rsid w:val="00E7202C"/>
    <w:rsid w:val="00E729E4"/>
    <w:rsid w:val="00E762CD"/>
    <w:rsid w:val="00E77645"/>
    <w:rsid w:val="00E83A1D"/>
    <w:rsid w:val="00E85446"/>
    <w:rsid w:val="00E8588B"/>
    <w:rsid w:val="00E93932"/>
    <w:rsid w:val="00E966D6"/>
    <w:rsid w:val="00EA378D"/>
    <w:rsid w:val="00EA77B3"/>
    <w:rsid w:val="00EB1200"/>
    <w:rsid w:val="00EB4B54"/>
    <w:rsid w:val="00EB736F"/>
    <w:rsid w:val="00EC222E"/>
    <w:rsid w:val="00EC2FA2"/>
    <w:rsid w:val="00EC3DA8"/>
    <w:rsid w:val="00EC4A25"/>
    <w:rsid w:val="00EE2A41"/>
    <w:rsid w:val="00EE3EC7"/>
    <w:rsid w:val="00EE43F8"/>
    <w:rsid w:val="00EE497A"/>
    <w:rsid w:val="00EE62E5"/>
    <w:rsid w:val="00EE6C7F"/>
    <w:rsid w:val="00EF1156"/>
    <w:rsid w:val="00EF2361"/>
    <w:rsid w:val="00EF27E9"/>
    <w:rsid w:val="00EF29E8"/>
    <w:rsid w:val="00EF7DE7"/>
    <w:rsid w:val="00F025A2"/>
    <w:rsid w:val="00F04712"/>
    <w:rsid w:val="00F06360"/>
    <w:rsid w:val="00F10B4A"/>
    <w:rsid w:val="00F1663A"/>
    <w:rsid w:val="00F20828"/>
    <w:rsid w:val="00F22EC7"/>
    <w:rsid w:val="00F23406"/>
    <w:rsid w:val="00F327A2"/>
    <w:rsid w:val="00F37AC0"/>
    <w:rsid w:val="00F41375"/>
    <w:rsid w:val="00F45990"/>
    <w:rsid w:val="00F529CD"/>
    <w:rsid w:val="00F5473F"/>
    <w:rsid w:val="00F6048D"/>
    <w:rsid w:val="00F63D5A"/>
    <w:rsid w:val="00F653B8"/>
    <w:rsid w:val="00F658D4"/>
    <w:rsid w:val="00F7675D"/>
    <w:rsid w:val="00F77A46"/>
    <w:rsid w:val="00F82E88"/>
    <w:rsid w:val="00F85AA8"/>
    <w:rsid w:val="00F8698D"/>
    <w:rsid w:val="00F95557"/>
    <w:rsid w:val="00FA00E1"/>
    <w:rsid w:val="00FA1266"/>
    <w:rsid w:val="00FA4FA2"/>
    <w:rsid w:val="00FA6502"/>
    <w:rsid w:val="00FB1D62"/>
    <w:rsid w:val="00FB229A"/>
    <w:rsid w:val="00FB3DC3"/>
    <w:rsid w:val="00FC1192"/>
    <w:rsid w:val="00FD6745"/>
    <w:rsid w:val="00FD7FD2"/>
    <w:rsid w:val="00FE581B"/>
    <w:rsid w:val="00FF0D3C"/>
    <w:rsid w:val="00FF25B3"/>
    <w:rsid w:val="00FF443A"/>
    <w:rsid w:val="010A5041"/>
    <w:rsid w:val="01537095"/>
    <w:rsid w:val="01A17AA8"/>
    <w:rsid w:val="021D0BDF"/>
    <w:rsid w:val="0300327D"/>
    <w:rsid w:val="04392C7B"/>
    <w:rsid w:val="046D53A3"/>
    <w:rsid w:val="05DD2118"/>
    <w:rsid w:val="07FD6788"/>
    <w:rsid w:val="081F03E2"/>
    <w:rsid w:val="083C4A8F"/>
    <w:rsid w:val="085F6F1F"/>
    <w:rsid w:val="0A8B4C59"/>
    <w:rsid w:val="0AAD6492"/>
    <w:rsid w:val="0AC441E9"/>
    <w:rsid w:val="0CBF5B3A"/>
    <w:rsid w:val="0E081B83"/>
    <w:rsid w:val="0E2F02D2"/>
    <w:rsid w:val="0EFE54A8"/>
    <w:rsid w:val="0F204B8F"/>
    <w:rsid w:val="0F975858"/>
    <w:rsid w:val="0FC803F4"/>
    <w:rsid w:val="10C67A22"/>
    <w:rsid w:val="125C25AB"/>
    <w:rsid w:val="12973A41"/>
    <w:rsid w:val="141C0A1B"/>
    <w:rsid w:val="14453750"/>
    <w:rsid w:val="145056A4"/>
    <w:rsid w:val="14BE4314"/>
    <w:rsid w:val="150B7C96"/>
    <w:rsid w:val="16AF64EE"/>
    <w:rsid w:val="16CC39B3"/>
    <w:rsid w:val="175974DB"/>
    <w:rsid w:val="17976A1E"/>
    <w:rsid w:val="18340143"/>
    <w:rsid w:val="187F72BD"/>
    <w:rsid w:val="190A0F56"/>
    <w:rsid w:val="192F5006"/>
    <w:rsid w:val="193E7D91"/>
    <w:rsid w:val="19642A6B"/>
    <w:rsid w:val="1A5E5E36"/>
    <w:rsid w:val="1A9978B3"/>
    <w:rsid w:val="1B5C444A"/>
    <w:rsid w:val="1C70368F"/>
    <w:rsid w:val="1CD43E07"/>
    <w:rsid w:val="1CEC357D"/>
    <w:rsid w:val="1E9F0ACC"/>
    <w:rsid w:val="1EA81B10"/>
    <w:rsid w:val="1F5F1E04"/>
    <w:rsid w:val="207D4DD2"/>
    <w:rsid w:val="20D60A55"/>
    <w:rsid w:val="224441AE"/>
    <w:rsid w:val="226107F1"/>
    <w:rsid w:val="245F7848"/>
    <w:rsid w:val="256A5012"/>
    <w:rsid w:val="25B04D2A"/>
    <w:rsid w:val="25B96C70"/>
    <w:rsid w:val="25BE7872"/>
    <w:rsid w:val="26A55E55"/>
    <w:rsid w:val="26EF0A4D"/>
    <w:rsid w:val="280166BC"/>
    <w:rsid w:val="28D5110C"/>
    <w:rsid w:val="29454C43"/>
    <w:rsid w:val="29791C1A"/>
    <w:rsid w:val="2A173C2E"/>
    <w:rsid w:val="2B7462A4"/>
    <w:rsid w:val="2C1C43EC"/>
    <w:rsid w:val="2C2158A0"/>
    <w:rsid w:val="2CDB22EA"/>
    <w:rsid w:val="2D0E2A7A"/>
    <w:rsid w:val="2E0D6CB4"/>
    <w:rsid w:val="302D0419"/>
    <w:rsid w:val="31C02DAE"/>
    <w:rsid w:val="321574BA"/>
    <w:rsid w:val="32985010"/>
    <w:rsid w:val="33036DDA"/>
    <w:rsid w:val="33F05CCA"/>
    <w:rsid w:val="35015961"/>
    <w:rsid w:val="35063F25"/>
    <w:rsid w:val="367F6AB9"/>
    <w:rsid w:val="36903146"/>
    <w:rsid w:val="37187253"/>
    <w:rsid w:val="37CC2099"/>
    <w:rsid w:val="38515AF3"/>
    <w:rsid w:val="3A4D1669"/>
    <w:rsid w:val="3A8F3960"/>
    <w:rsid w:val="3B986F4A"/>
    <w:rsid w:val="3C407351"/>
    <w:rsid w:val="3C872CDC"/>
    <w:rsid w:val="3CCA0042"/>
    <w:rsid w:val="3E3076D3"/>
    <w:rsid w:val="3E4A28BC"/>
    <w:rsid w:val="3EC11302"/>
    <w:rsid w:val="3FA06772"/>
    <w:rsid w:val="401A0548"/>
    <w:rsid w:val="40460794"/>
    <w:rsid w:val="408F05F9"/>
    <w:rsid w:val="41FD36BD"/>
    <w:rsid w:val="42237A68"/>
    <w:rsid w:val="42D067E2"/>
    <w:rsid w:val="435F7582"/>
    <w:rsid w:val="43A10F2E"/>
    <w:rsid w:val="475C74D6"/>
    <w:rsid w:val="48565574"/>
    <w:rsid w:val="495A3BE4"/>
    <w:rsid w:val="49853B2F"/>
    <w:rsid w:val="4A3557ED"/>
    <w:rsid w:val="4C336C95"/>
    <w:rsid w:val="4C721BF8"/>
    <w:rsid w:val="4CB848EB"/>
    <w:rsid w:val="4D5E08FC"/>
    <w:rsid w:val="4DAE1980"/>
    <w:rsid w:val="4E690324"/>
    <w:rsid w:val="4E824CB0"/>
    <w:rsid w:val="4EE77716"/>
    <w:rsid w:val="4EEB73D6"/>
    <w:rsid w:val="505D65C8"/>
    <w:rsid w:val="51577749"/>
    <w:rsid w:val="519B2E6F"/>
    <w:rsid w:val="51EE67A6"/>
    <w:rsid w:val="524F3C18"/>
    <w:rsid w:val="5251711B"/>
    <w:rsid w:val="53BA1994"/>
    <w:rsid w:val="54796F82"/>
    <w:rsid w:val="5501323F"/>
    <w:rsid w:val="556752C9"/>
    <w:rsid w:val="57C01853"/>
    <w:rsid w:val="57E8209D"/>
    <w:rsid w:val="58200B20"/>
    <w:rsid w:val="58230012"/>
    <w:rsid w:val="58614E0C"/>
    <w:rsid w:val="58B92D8C"/>
    <w:rsid w:val="58EB2FA0"/>
    <w:rsid w:val="5A5020B9"/>
    <w:rsid w:val="5A7622F9"/>
    <w:rsid w:val="5BED074A"/>
    <w:rsid w:val="5BED7F61"/>
    <w:rsid w:val="5C2354F0"/>
    <w:rsid w:val="5D385380"/>
    <w:rsid w:val="5DC2265C"/>
    <w:rsid w:val="5E3B5EA7"/>
    <w:rsid w:val="5FB37C51"/>
    <w:rsid w:val="5FB7392A"/>
    <w:rsid w:val="60460101"/>
    <w:rsid w:val="61400BA9"/>
    <w:rsid w:val="61775A1A"/>
    <w:rsid w:val="61A13A37"/>
    <w:rsid w:val="61A91BB9"/>
    <w:rsid w:val="62297D08"/>
    <w:rsid w:val="629C2F58"/>
    <w:rsid w:val="62AC7970"/>
    <w:rsid w:val="63443DB1"/>
    <w:rsid w:val="63A32486"/>
    <w:rsid w:val="64A124E9"/>
    <w:rsid w:val="65E55EB8"/>
    <w:rsid w:val="67860E67"/>
    <w:rsid w:val="67DC130D"/>
    <w:rsid w:val="67F96014"/>
    <w:rsid w:val="68696EDC"/>
    <w:rsid w:val="68735B67"/>
    <w:rsid w:val="68EB28A1"/>
    <w:rsid w:val="691F7904"/>
    <w:rsid w:val="6B8F6404"/>
    <w:rsid w:val="6B9E6A1E"/>
    <w:rsid w:val="6BF757CF"/>
    <w:rsid w:val="6D045452"/>
    <w:rsid w:val="6F873A86"/>
    <w:rsid w:val="6FCB636D"/>
    <w:rsid w:val="70A17A56"/>
    <w:rsid w:val="70D86D3F"/>
    <w:rsid w:val="73946B2F"/>
    <w:rsid w:val="74982ED9"/>
    <w:rsid w:val="770E0574"/>
    <w:rsid w:val="78967EE6"/>
    <w:rsid w:val="78CE1884"/>
    <w:rsid w:val="78F61204"/>
    <w:rsid w:val="795476B2"/>
    <w:rsid w:val="79A9473F"/>
    <w:rsid w:val="79DC08AE"/>
    <w:rsid w:val="79F16E9E"/>
    <w:rsid w:val="7A080CC1"/>
    <w:rsid w:val="7B1633FD"/>
    <w:rsid w:val="7B997BCB"/>
    <w:rsid w:val="7CAB7E05"/>
    <w:rsid w:val="7CC33357"/>
    <w:rsid w:val="7DD035F6"/>
    <w:rsid w:val="7DF76D39"/>
    <w:rsid w:val="7E26070B"/>
    <w:rsid w:val="7FBA0465"/>
    <w:rsid w:val="7FED39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3"/>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70"/>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semiHidden/>
    <w:qFormat/>
    <w:uiPriority w:val="0"/>
    <w:pPr>
      <w:ind w:left="1418" w:hanging="1418"/>
    </w:pPr>
  </w:style>
  <w:style w:type="paragraph" w:styleId="25">
    <w:name w:val="Normal (Web)"/>
    <w:basedOn w:val="1"/>
    <w:qFormat/>
    <w:uiPriority w:val="0"/>
    <w:rPr>
      <w:sz w:val="24"/>
    </w:rPr>
  </w:style>
  <w:style w:type="paragraph" w:styleId="26">
    <w:name w:val="annotation subject"/>
    <w:basedOn w:val="19"/>
    <w:next w:val="19"/>
    <w:link w:val="74"/>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FollowedHyperlink"/>
    <w:qFormat/>
    <w:uiPriority w:val="0"/>
    <w:rPr>
      <w:color w:val="954F72"/>
      <w:u w:val="single"/>
    </w:rPr>
  </w:style>
  <w:style w:type="character" w:styleId="32">
    <w:name w:val="Emphasis"/>
    <w:basedOn w:val="29"/>
    <w:qFormat/>
    <w:uiPriority w:val="0"/>
    <w:rPr>
      <w:i/>
    </w:rPr>
  </w:style>
  <w:style w:type="character" w:styleId="33">
    <w:name w:val="Hyperlink"/>
    <w:qFormat/>
    <w:uiPriority w:val="99"/>
    <w:rPr>
      <w:color w:val="0000FF"/>
      <w:u w:val="single"/>
    </w:rPr>
  </w:style>
  <w:style w:type="character" w:styleId="34">
    <w:name w:val="annotation reference"/>
    <w:qFormat/>
    <w:uiPriority w:val="0"/>
    <w:rPr>
      <w:sz w:val="16"/>
      <w:szCs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89"/>
    <w:qFormat/>
    <w:uiPriority w:val="0"/>
    <w:pPr>
      <w:keepLines/>
      <w:ind w:left="1135" w:hanging="851"/>
    </w:pPr>
  </w:style>
  <w:style w:type="paragraph" w:customStyle="1" w:styleId="41">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76"/>
    <w:qFormat/>
    <w:uiPriority w:val="0"/>
    <w:pPr>
      <w:keepNext/>
      <w:keepLines/>
      <w:spacing w:after="0"/>
    </w:pPr>
    <w:rPr>
      <w:rFonts w:ascii="Arial" w:hAnsi="Arial"/>
      <w:sz w:val="18"/>
    </w:rPr>
  </w:style>
  <w:style w:type="paragraph" w:customStyle="1" w:styleId="44">
    <w:name w:val="TAH"/>
    <w:basedOn w:val="45"/>
    <w:link w:val="78"/>
    <w:qFormat/>
    <w:uiPriority w:val="0"/>
    <w:rPr>
      <w:b/>
    </w:rPr>
  </w:style>
  <w:style w:type="paragraph" w:customStyle="1" w:styleId="45">
    <w:name w:val="TAC"/>
    <w:basedOn w:val="43"/>
    <w:link w:val="77"/>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link w:val="7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82"/>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link w:val="80"/>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
    <w:link w:val="9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1"/>
    <w:qFormat/>
    <w:uiPriority w:val="0"/>
    <w:rPr>
      <w:rFonts w:ascii="Segoe UI" w:hAnsi="Segoe UI" w:cs="Segoe UI"/>
      <w:sz w:val="18"/>
      <w:szCs w:val="18"/>
      <w:lang w:val="en-GB" w:eastAsia="en-US"/>
    </w:rPr>
  </w:style>
  <w:style w:type="character" w:customStyle="1" w:styleId="71">
    <w:name w:val="EX Char"/>
    <w:link w:val="47"/>
    <w:qFormat/>
    <w:locked/>
    <w:uiPriority w:val="0"/>
    <w:rPr>
      <w:lang w:val="en-GB" w:eastAsia="en-US"/>
    </w:rPr>
  </w:style>
  <w:style w:type="paragraph" w:customStyle="1" w:styleId="72">
    <w:name w:val="CR Cover Page"/>
    <w:link w:val="75"/>
    <w:qFormat/>
    <w:uiPriority w:val="0"/>
    <w:pPr>
      <w:spacing w:after="120"/>
    </w:pPr>
    <w:rPr>
      <w:rFonts w:ascii="Arial" w:hAnsi="Arial" w:eastAsia="Times New Roman" w:cs="Times New Roman"/>
      <w:lang w:val="en-GB" w:eastAsia="en-US" w:bidi="ar-SA"/>
    </w:rPr>
  </w:style>
  <w:style w:type="character" w:customStyle="1" w:styleId="73">
    <w:name w:val="Comment Text Char"/>
    <w:link w:val="19"/>
    <w:qFormat/>
    <w:uiPriority w:val="0"/>
    <w:rPr>
      <w:lang w:val="en-GB" w:eastAsia="en-US"/>
    </w:rPr>
  </w:style>
  <w:style w:type="character" w:customStyle="1" w:styleId="74">
    <w:name w:val="Comment Subject Char"/>
    <w:link w:val="26"/>
    <w:qFormat/>
    <w:uiPriority w:val="0"/>
    <w:rPr>
      <w:b/>
      <w:bCs/>
      <w:lang w:val="en-GB" w:eastAsia="en-US"/>
    </w:rPr>
  </w:style>
  <w:style w:type="character" w:customStyle="1" w:styleId="75">
    <w:name w:val="CR Cover Page Char"/>
    <w:link w:val="72"/>
    <w:qFormat/>
    <w:locked/>
    <w:uiPriority w:val="0"/>
    <w:rPr>
      <w:rFonts w:ascii="Arial" w:hAnsi="Arial"/>
      <w:lang w:val="en-GB" w:eastAsia="en-US"/>
    </w:rPr>
  </w:style>
  <w:style w:type="character" w:customStyle="1" w:styleId="76">
    <w:name w:val="TAL (文字)"/>
    <w:link w:val="43"/>
    <w:qFormat/>
    <w:uiPriority w:val="0"/>
    <w:rPr>
      <w:rFonts w:ascii="Arial" w:hAnsi="Arial"/>
      <w:sz w:val="18"/>
      <w:lang w:val="en-GB" w:eastAsia="en-US"/>
    </w:rPr>
  </w:style>
  <w:style w:type="character" w:customStyle="1" w:styleId="77">
    <w:name w:val="TAC Car"/>
    <w:link w:val="45"/>
    <w:qFormat/>
    <w:uiPriority w:val="0"/>
    <w:rPr>
      <w:rFonts w:ascii="Arial" w:hAnsi="Arial"/>
      <w:sz w:val="18"/>
      <w:lang w:val="en-GB" w:eastAsia="en-US"/>
    </w:rPr>
  </w:style>
  <w:style w:type="character" w:customStyle="1" w:styleId="78">
    <w:name w:val="TAH Car"/>
    <w:link w:val="44"/>
    <w:qFormat/>
    <w:uiPriority w:val="0"/>
    <w:rPr>
      <w:rFonts w:ascii="Arial" w:hAnsi="Arial"/>
      <w:b/>
      <w:sz w:val="18"/>
      <w:lang w:val="en-GB" w:eastAsia="en-US"/>
    </w:rPr>
  </w:style>
  <w:style w:type="character" w:customStyle="1" w:styleId="79">
    <w:name w:val="TAL Char"/>
    <w:qFormat/>
    <w:uiPriority w:val="0"/>
    <w:rPr>
      <w:rFonts w:ascii="Arial" w:hAnsi="Arial"/>
      <w:sz w:val="18"/>
      <w:lang w:val="en-GB"/>
    </w:rPr>
  </w:style>
  <w:style w:type="character" w:customStyle="1" w:styleId="80">
    <w:name w:val="TH Char"/>
    <w:link w:val="53"/>
    <w:qFormat/>
    <w:uiPriority w:val="0"/>
    <w:rPr>
      <w:rFonts w:ascii="Arial" w:hAnsi="Arial"/>
      <w:b/>
      <w:lang w:val="en-GB" w:eastAsia="en-US"/>
    </w:rPr>
  </w:style>
  <w:style w:type="character" w:customStyle="1" w:styleId="81">
    <w:name w:val="Heading 2 Char"/>
    <w:link w:val="3"/>
    <w:qFormat/>
    <w:uiPriority w:val="0"/>
    <w:rPr>
      <w:rFonts w:ascii="Arial" w:hAnsi="Arial"/>
      <w:sz w:val="32"/>
      <w:lang w:eastAsia="en-US"/>
    </w:rPr>
  </w:style>
  <w:style w:type="character" w:customStyle="1" w:styleId="82">
    <w:name w:val="B1 (文字)"/>
    <w:link w:val="51"/>
    <w:qFormat/>
    <w:locked/>
    <w:uiPriority w:val="0"/>
    <w:rPr>
      <w:lang w:eastAsia="en-US"/>
    </w:rPr>
  </w:style>
  <w:style w:type="character" w:customStyle="1" w:styleId="83">
    <w:name w:val="Heading 3 Char"/>
    <w:link w:val="4"/>
    <w:qFormat/>
    <w:uiPriority w:val="0"/>
    <w:rPr>
      <w:rFonts w:ascii="Arial" w:hAnsi="Arial"/>
      <w:sz w:val="28"/>
      <w:lang w:eastAsia="en-US"/>
    </w:rPr>
  </w:style>
  <w:style w:type="character" w:customStyle="1" w:styleId="84">
    <w:name w:val="Heading 4 Char"/>
    <w:link w:val="5"/>
    <w:qFormat/>
    <w:uiPriority w:val="0"/>
    <w:rPr>
      <w:rFonts w:ascii="Arial" w:hAnsi="Arial"/>
      <w:sz w:val="24"/>
      <w:lang w:eastAsia="en-US"/>
    </w:rPr>
  </w:style>
  <w:style w:type="character" w:customStyle="1" w:styleId="85">
    <w:name w:val="Unresolved Mention"/>
    <w:semiHidden/>
    <w:unhideWhenUsed/>
    <w:qFormat/>
    <w:uiPriority w:val="99"/>
    <w:rPr>
      <w:color w:val="605E5C"/>
      <w:shd w:val="clear" w:color="auto" w:fill="E1DFDD"/>
    </w:rPr>
  </w:style>
  <w:style w:type="character" w:customStyle="1" w:styleId="86">
    <w:name w:val="PL Char"/>
    <w:link w:val="41"/>
    <w:qFormat/>
    <w:uiPriority w:val="0"/>
    <w:rPr>
      <w:rFonts w:ascii="Courier New" w:hAnsi="Courier New"/>
      <w:sz w:val="16"/>
      <w:lang w:eastAsia="en-US"/>
    </w:rPr>
  </w:style>
  <w:style w:type="character" w:customStyle="1" w:styleId="87">
    <w:name w:val="Header Char"/>
    <w:link w:val="23"/>
    <w:qFormat/>
    <w:uiPriority w:val="0"/>
    <w:rPr>
      <w:rFonts w:ascii="Arial" w:hAnsi="Arial"/>
      <w:b/>
      <w:sz w:val="18"/>
      <w:lang w:val="en-GB" w:eastAsia="ja-JP"/>
    </w:rPr>
  </w:style>
  <w:style w:type="character" w:customStyle="1" w:styleId="88">
    <w:name w:val="B1 Char"/>
    <w:qFormat/>
    <w:uiPriority w:val="0"/>
    <w:rPr>
      <w:lang w:eastAsia="en-US"/>
    </w:rPr>
  </w:style>
  <w:style w:type="character" w:customStyle="1" w:styleId="89">
    <w:name w:val="NO Char"/>
    <w:link w:val="40"/>
    <w:qFormat/>
    <w:uiPriority w:val="0"/>
    <w:rPr>
      <w:lang w:val="en-GB" w:eastAsia="en-US"/>
    </w:rPr>
  </w:style>
  <w:style w:type="character" w:customStyle="1" w:styleId="90">
    <w:name w:val="B1 Char1"/>
    <w:qFormat/>
    <w:uiPriority w:val="0"/>
    <w:rPr>
      <w:rFonts w:ascii="Times New Roman" w:hAnsi="Times New Roman"/>
      <w:lang w:val="en-GB" w:eastAsia="en-US"/>
    </w:rPr>
  </w:style>
  <w:style w:type="character" w:customStyle="1" w:styleId="91">
    <w:name w:val="B2 Char1"/>
    <w:link w:val="62"/>
    <w:qFormat/>
    <w:uiPriority w:val="0"/>
    <w:rPr>
      <w:lang w:val="en-GB" w:eastAsia="en-US"/>
    </w:rPr>
  </w:style>
  <w:style w:type="character" w:customStyle="1" w:styleId="92">
    <w:name w:val="B2 Char"/>
    <w:qFormat/>
    <w:uiPriority w:val="0"/>
    <w:rPr>
      <w:lang w:eastAsia="en-US"/>
    </w:rPr>
  </w:style>
  <w:style w:type="paragraph" w:customStyle="1" w:styleId="93">
    <w:name w:val="CM1"/>
    <w:basedOn w:val="1"/>
    <w:next w:val="1"/>
    <w:qFormat/>
    <w:uiPriority w:val="99"/>
    <w:pPr>
      <w:autoSpaceDE w:val="0"/>
      <w:autoSpaceDN w:val="0"/>
      <w:adjustRightInd w:val="0"/>
      <w:spacing w:after="0"/>
    </w:pPr>
    <w:rPr>
      <w:rFonts w:ascii="EU Albertina" w:hAnsi="EU Albertina"/>
      <w:sz w:val="24"/>
      <w:szCs w:val="24"/>
      <w:lang w:val="zh-CN" w:eastAsia="zh-CN"/>
    </w:rPr>
  </w:style>
  <w:style w:type="paragraph" w:customStyle="1" w:styleId="94">
    <w:name w:val="CM3"/>
    <w:basedOn w:val="1"/>
    <w:next w:val="1"/>
    <w:qFormat/>
    <w:uiPriority w:val="99"/>
    <w:pPr>
      <w:autoSpaceDE w:val="0"/>
      <w:autoSpaceDN w:val="0"/>
      <w:adjustRightInd w:val="0"/>
      <w:spacing w:after="0"/>
    </w:pPr>
    <w:rPr>
      <w:rFonts w:ascii="EU Albertina" w:hAnsi="EU Albertina"/>
      <w:sz w:val="24"/>
      <w:szCs w:val="24"/>
      <w:lang w:val="zh-CN" w:eastAsia="zh-CN"/>
    </w:rPr>
  </w:style>
  <w:style w:type="paragraph" w:customStyle="1" w:styleId="95">
    <w:name w:val="CM4"/>
    <w:basedOn w:val="1"/>
    <w:next w:val="1"/>
    <w:qFormat/>
    <w:uiPriority w:val="99"/>
    <w:pPr>
      <w:autoSpaceDE w:val="0"/>
      <w:autoSpaceDN w:val="0"/>
      <w:adjustRightInd w:val="0"/>
      <w:spacing w:after="0"/>
    </w:pPr>
    <w:rPr>
      <w:rFonts w:ascii="EU Albertina" w:hAnsi="EU Albertina"/>
      <w:sz w:val="24"/>
      <w:szCs w:val="24"/>
      <w:lang w:val="zh-CN" w:eastAsia="zh-CN"/>
    </w:rPr>
  </w:style>
  <w:style w:type="paragraph" w:customStyle="1" w:styleId="9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650</Words>
  <Characters>3706</Characters>
  <Lines>30</Lines>
  <Paragraphs>8</Paragraphs>
  <TotalTime>880</TotalTime>
  <ScaleCrop>false</ScaleCrop>
  <LinksUpToDate>false</LinksUpToDate>
  <CharactersWithSpaces>4348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2021-01-31T13:52:00Z</dcterms:created>
  <dc:creator>MCC Support</dc:creator>
  <cp:keywords>&lt;keyword[, keyword, ]&gt;</cp:keywords>
  <cp:lastModifiedBy>cmcc</cp:lastModifiedBy>
  <cp:lastPrinted>2018-04-03T14:56:00Z</cp:lastPrinted>
  <dcterms:modified xsi:type="dcterms:W3CDTF">2025-08-13T02:00:05Z</dcterms:modified>
  <dc:subject>&lt;Title 1; Title 2&gt; (Release 14 | 13 |12)</dc:subject>
  <dc:title>3GPP TS ab.cde</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E82C45C25E7248BCAF2D7A7B3C2AAAC2_13</vt:lpwstr>
  </property>
</Properties>
</file>